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22" w:rsidRDefault="001A1522" w:rsidP="001A1522">
      <w:pPr>
        <w:spacing w:after="0"/>
        <w:jc w:val="center"/>
        <w:rPr>
          <w:rFonts w:cstheme="minorHAnsi"/>
          <w:b/>
          <w:szCs w:val="24"/>
        </w:rPr>
      </w:pPr>
      <w:r w:rsidRPr="0017093C">
        <w:rPr>
          <w:rFonts w:cstheme="minorHAnsi"/>
          <w:b/>
          <w:szCs w:val="24"/>
        </w:rPr>
        <w:t>CONFERENCE PROGRAM</w:t>
      </w:r>
    </w:p>
    <w:p w:rsidR="001A1522" w:rsidRDefault="001A1522" w:rsidP="001A1522">
      <w:pPr>
        <w:spacing w:after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Senate Hall, Central Building, Universitas Gadjah Mada</w:t>
      </w:r>
    </w:p>
    <w:p w:rsidR="001A1522" w:rsidRDefault="001A1522" w:rsidP="001A1522">
      <w:pPr>
        <w:spacing w:after="0"/>
        <w:jc w:val="center"/>
        <w:rPr>
          <w:rFonts w:cstheme="minorHAnsi"/>
          <w:b/>
          <w:szCs w:val="24"/>
        </w:rPr>
      </w:pPr>
    </w:p>
    <w:p w:rsidR="001A1522" w:rsidRDefault="001A1522" w:rsidP="001A1522">
      <w:pPr>
        <w:spacing w:after="0"/>
        <w:rPr>
          <w:rFonts w:cstheme="minorHAnsi"/>
          <w:szCs w:val="24"/>
        </w:rPr>
      </w:pPr>
    </w:p>
    <w:p w:rsidR="001A1522" w:rsidRPr="00BF0A15" w:rsidRDefault="001A1522" w:rsidP="001A1522">
      <w:pPr>
        <w:spacing w:after="0"/>
        <w:rPr>
          <w:rFonts w:cstheme="minorHAnsi"/>
          <w:szCs w:val="24"/>
        </w:rPr>
      </w:pPr>
      <w:r w:rsidRPr="00BF0A15">
        <w:rPr>
          <w:rFonts w:cstheme="minorHAnsi"/>
          <w:szCs w:val="24"/>
        </w:rPr>
        <w:t>Room 1: Senate Hall</w:t>
      </w:r>
    </w:p>
    <w:p w:rsidR="001A1522" w:rsidRPr="00BF0A15" w:rsidRDefault="001A1522" w:rsidP="001A1522">
      <w:pPr>
        <w:spacing w:after="0"/>
        <w:rPr>
          <w:rFonts w:cstheme="minorHAnsi"/>
          <w:szCs w:val="24"/>
        </w:rPr>
      </w:pPr>
      <w:r w:rsidRPr="00BF0A15">
        <w:rPr>
          <w:rFonts w:cstheme="minorHAnsi"/>
          <w:szCs w:val="24"/>
        </w:rPr>
        <w:t xml:space="preserve">Room 2: Multimedia </w:t>
      </w:r>
      <w:r>
        <w:rPr>
          <w:rFonts w:cstheme="minorHAnsi"/>
          <w:szCs w:val="24"/>
        </w:rPr>
        <w:t xml:space="preserve">Room </w:t>
      </w:r>
      <w:r w:rsidRPr="00BF0A15">
        <w:rPr>
          <w:rFonts w:cstheme="minorHAnsi"/>
          <w:szCs w:val="24"/>
        </w:rPr>
        <w:t>1</w:t>
      </w:r>
    </w:p>
    <w:p w:rsidR="001A1522" w:rsidRPr="00BF0A15" w:rsidRDefault="001A1522" w:rsidP="001A1522">
      <w:pPr>
        <w:spacing w:after="0"/>
        <w:rPr>
          <w:rFonts w:cstheme="minorHAnsi"/>
          <w:szCs w:val="24"/>
        </w:rPr>
      </w:pPr>
      <w:r w:rsidRPr="00BF0A15">
        <w:rPr>
          <w:rFonts w:cstheme="minorHAnsi"/>
          <w:szCs w:val="24"/>
        </w:rPr>
        <w:t xml:space="preserve">Room 3: Multimedia </w:t>
      </w:r>
      <w:r>
        <w:rPr>
          <w:rFonts w:cstheme="minorHAnsi"/>
          <w:szCs w:val="24"/>
        </w:rPr>
        <w:t xml:space="preserve">Room </w:t>
      </w:r>
      <w:r w:rsidRPr="00BF0A15">
        <w:rPr>
          <w:rFonts w:cstheme="minorHAnsi"/>
          <w:szCs w:val="24"/>
        </w:rPr>
        <w:t>2</w:t>
      </w:r>
    </w:p>
    <w:p w:rsidR="001A1522" w:rsidRPr="0017093C" w:rsidRDefault="001A1522" w:rsidP="001A1522">
      <w:pPr>
        <w:spacing w:after="0" w:line="240" w:lineRule="auto"/>
        <w:jc w:val="center"/>
        <w:rPr>
          <w:rFonts w:cstheme="minorHAnsi"/>
          <w:b/>
          <w:szCs w:val="24"/>
        </w:rPr>
      </w:pPr>
    </w:p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1804"/>
        <w:gridCol w:w="6985"/>
        <w:gridCol w:w="1667"/>
      </w:tblGrid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Time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Program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Venue</w:t>
            </w:r>
          </w:p>
        </w:tc>
      </w:tr>
      <w:tr w:rsidR="001A1522" w:rsidRPr="0017093C" w:rsidTr="006B610D">
        <w:trPr>
          <w:trHeight w:val="417"/>
        </w:trPr>
        <w:tc>
          <w:tcPr>
            <w:tcW w:w="10456" w:type="dxa"/>
            <w:gridSpan w:val="3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Day 1, 13 October 2018</w:t>
            </w:r>
          </w:p>
        </w:tc>
      </w:tr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07.30 – 08.00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Registration 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08.00 - 08.30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Opening Ceremony </w:t>
            </w:r>
          </w:p>
          <w:p w:rsidR="001A1522" w:rsidRPr="0017093C" w:rsidRDefault="001A1522" w:rsidP="001A1522">
            <w:pPr>
              <w:pStyle w:val="ListParagraph"/>
              <w:numPr>
                <w:ilvl w:val="0"/>
                <w:numId w:val="2"/>
              </w:numPr>
              <w:ind w:left="499" w:hanging="284"/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Indonesia Anthem </w:t>
            </w:r>
          </w:p>
          <w:p w:rsidR="001A1522" w:rsidRPr="0017093C" w:rsidRDefault="001A1522" w:rsidP="001A1522">
            <w:pPr>
              <w:pStyle w:val="ListParagraph"/>
              <w:numPr>
                <w:ilvl w:val="0"/>
                <w:numId w:val="2"/>
              </w:numPr>
              <w:ind w:left="499" w:hanging="284"/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Opening Remarks:    </w:t>
            </w:r>
          </w:p>
          <w:p w:rsidR="001A1522" w:rsidRPr="0017093C" w:rsidRDefault="001A1522" w:rsidP="001A1522">
            <w:pPr>
              <w:pStyle w:val="ListParagraph"/>
              <w:numPr>
                <w:ilvl w:val="0"/>
                <w:numId w:val="1"/>
              </w:numPr>
              <w:ind w:left="924" w:hanging="284"/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Dean of Faculty of Philosophy, Universitas Gadjah Mada</w:t>
            </w:r>
          </w:p>
          <w:p w:rsidR="001A1522" w:rsidRPr="0017093C" w:rsidRDefault="001A1522" w:rsidP="001A1522">
            <w:pPr>
              <w:pStyle w:val="ListParagraph"/>
              <w:numPr>
                <w:ilvl w:val="0"/>
                <w:numId w:val="1"/>
              </w:numPr>
              <w:ind w:left="924" w:hanging="284"/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Rector of Universitas Gadjah Mada</w:t>
            </w:r>
          </w:p>
          <w:p w:rsidR="001A1522" w:rsidRPr="0017093C" w:rsidRDefault="001A1522" w:rsidP="006B610D">
            <w:pPr>
              <w:pStyle w:val="ListParagraph"/>
              <w:ind w:left="51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Room 1: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Senate Hall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08.30 – 10.00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Keynote Address 1</w:t>
            </w:r>
            <w:r w:rsidRPr="0017093C">
              <w:rPr>
                <w:rFonts w:cstheme="minorHAnsi"/>
                <w:szCs w:val="24"/>
              </w:rPr>
              <w:t xml:space="preserve">: </w:t>
            </w: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i/>
                <w:szCs w:val="24"/>
              </w:rPr>
            </w:pPr>
            <w:r w:rsidRPr="0017093C">
              <w:rPr>
                <w:rFonts w:cstheme="minorHAnsi"/>
                <w:b/>
                <w:i/>
                <w:szCs w:val="24"/>
              </w:rPr>
              <w:t>Indonesia’s Middle Way: The Hopes and Challenges of a Religious yet Inclusive Citizenship</w:t>
            </w:r>
          </w:p>
          <w:p w:rsidR="001A1522" w:rsidRPr="0017093C" w:rsidRDefault="001A1522" w:rsidP="006B610D">
            <w:pPr>
              <w:tabs>
                <w:tab w:val="left" w:pos="4920"/>
              </w:tabs>
              <w:jc w:val="both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tabs>
                <w:tab w:val="left" w:pos="4920"/>
              </w:tabs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Prof. Robert Hefner</w:t>
            </w:r>
            <w:r w:rsidRPr="0017093C">
              <w:rPr>
                <w:rFonts w:cstheme="minorHAnsi"/>
                <w:szCs w:val="24"/>
              </w:rPr>
              <w:t>, Boston University</w:t>
            </w:r>
          </w:p>
          <w:p w:rsidR="001A1522" w:rsidRPr="0017093C" w:rsidRDefault="001A1522" w:rsidP="006B610D">
            <w:pPr>
              <w:tabs>
                <w:tab w:val="left" w:pos="4920"/>
              </w:tabs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tabs>
                <w:tab w:val="left" w:pos="4920"/>
              </w:tabs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Chair</w:t>
            </w:r>
            <w:r w:rsidRPr="0017093C">
              <w:rPr>
                <w:rFonts w:cstheme="minorHAnsi"/>
                <w:szCs w:val="24"/>
              </w:rPr>
              <w:t>: Prof. Dr. Lasiyo, M.A., M.M.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Room 1: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10.00 – 10.15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Coffee break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Balairung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488"/>
        </w:trPr>
        <w:tc>
          <w:tcPr>
            <w:tcW w:w="1804" w:type="dxa"/>
            <w:vMerge w:val="restart"/>
          </w:tcPr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  </w:t>
            </w: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10.15 – 12.15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(Room 1)</w:t>
            </w: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10.15 – 12.15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(Room 2)</w:t>
            </w: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10.15 – 12.15</w:t>
            </w:r>
          </w:p>
          <w:p w:rsidR="001A1522" w:rsidRPr="0017093C" w:rsidRDefault="001A1522" w:rsidP="006B610D">
            <w:pPr>
              <w:pStyle w:val="ListParagraph"/>
              <w:ind w:left="459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(Room 3)</w:t>
            </w:r>
          </w:p>
          <w:p w:rsidR="001A1522" w:rsidRPr="0017093C" w:rsidRDefault="001A1522" w:rsidP="006B610D">
            <w:pPr>
              <w:pStyle w:val="ListParagraph"/>
              <w:ind w:left="459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pStyle w:val="ListParagraph"/>
              <w:ind w:left="459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lastRenderedPageBreak/>
              <w:t>Parallel Sessions</w:t>
            </w:r>
          </w:p>
        </w:tc>
      </w:tr>
      <w:tr w:rsidR="001A1522" w:rsidRPr="0017093C" w:rsidTr="006B610D">
        <w:trPr>
          <w:trHeight w:val="896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pStyle w:val="ListParagraph"/>
              <w:ind w:left="459"/>
              <w:rPr>
                <w:rFonts w:cstheme="minorHAnsi"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pStyle w:val="ListParagraph"/>
              <w:ind w:left="318"/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Session 1: </w:t>
            </w:r>
            <w:r>
              <w:rPr>
                <w:rFonts w:cstheme="minorHAnsi"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>Ethnicity, Identities and Performance</w:t>
            </w:r>
          </w:p>
          <w:p w:rsidR="001A1522" w:rsidRPr="0017093C" w:rsidRDefault="001A1522" w:rsidP="006B610D">
            <w:pPr>
              <w:pStyle w:val="ListParagraph"/>
              <w:ind w:left="318"/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b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 Reconstructing Cultural Identity Through Art Education in Post Reform era of Indonesia</w:t>
            </w: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Neneng Yanti Khozanatu Lahpan</w:t>
            </w:r>
            <w:r w:rsidRPr="0017093C">
              <w:rPr>
                <w:rFonts w:cstheme="minorHAnsi"/>
                <w:szCs w:val="24"/>
              </w:rPr>
              <w:t xml:space="preserve">, Institut Seni Budaya Indonesia </w:t>
            </w:r>
          </w:p>
          <w:p w:rsidR="001A1522" w:rsidRDefault="001A1522" w:rsidP="006B610D">
            <w:pPr>
              <w:ind w:left="122" w:hanging="49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Reflecting Urban Identity’s Values through Traditional Humor Ludruk Performing Arts</w:t>
            </w: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Moses G. R. Pandin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Default="001A1522" w:rsidP="006B610D">
            <w:pPr>
              <w:ind w:left="122" w:hanging="49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Performing Indigenous Philosophy: </w:t>
            </w:r>
            <w:r w:rsidRPr="0017093C">
              <w:rPr>
                <w:rFonts w:cstheme="minorHAnsi"/>
                <w:szCs w:val="24"/>
              </w:rPr>
              <w:t>Aprilan-Saparan</w:t>
            </w:r>
            <w:r w:rsidRPr="0017093C">
              <w:rPr>
                <w:rFonts w:cstheme="minorHAnsi"/>
                <w:i/>
                <w:szCs w:val="24"/>
              </w:rPr>
              <w:t xml:space="preserve"> Festivity as Civil Sphere for </w:t>
            </w:r>
            <w:r>
              <w:rPr>
                <w:rFonts w:cstheme="minorHAnsi"/>
                <w:i/>
                <w:szCs w:val="24"/>
              </w:rPr>
              <w:t xml:space="preserve"> </w:t>
            </w:r>
            <w:r w:rsidRPr="0017093C">
              <w:rPr>
                <w:rFonts w:cstheme="minorHAnsi"/>
                <w:i/>
                <w:szCs w:val="24"/>
              </w:rPr>
              <w:t>Interreligious Engagements in Merbabu Mountainsides, Central Java</w:t>
            </w: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Izak Y. M. Lattu</w:t>
            </w:r>
            <w:r w:rsidRPr="0017093C">
              <w:rPr>
                <w:rFonts w:cstheme="minorHAnsi"/>
                <w:szCs w:val="24"/>
              </w:rPr>
              <w:t>, Satya Wacana Christian University</w:t>
            </w: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b/>
                <w:bCs/>
                <w:szCs w:val="24"/>
              </w:rPr>
            </w:pPr>
          </w:p>
          <w:p w:rsidR="001A1522" w:rsidRDefault="001A1522" w:rsidP="006B610D">
            <w:pPr>
              <w:ind w:left="122" w:hanging="49"/>
              <w:rPr>
                <w:rFonts w:cstheme="minorHAnsi"/>
                <w:bCs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 xml:space="preserve">Moderator: </w:t>
            </w:r>
            <w:r w:rsidRPr="0017093C">
              <w:rPr>
                <w:rFonts w:cstheme="minorHAnsi"/>
                <w:bCs/>
                <w:szCs w:val="24"/>
              </w:rPr>
              <w:t>Dr. Sonjoruri Budiani Trisakti, M.A.</w:t>
            </w:r>
          </w:p>
          <w:p w:rsidR="001A1522" w:rsidRPr="0017093C" w:rsidRDefault="001A1522" w:rsidP="006B610D">
            <w:pPr>
              <w:ind w:left="122" w:hanging="49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896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Session 2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b/>
                <w:szCs w:val="24"/>
              </w:rPr>
              <w:t xml:space="preserve"> Strategies of Democracy  </w:t>
            </w: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 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b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Pancasila and Citizenship Education in Indonesia: Hopes and Challenges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eastAsia="Times New Roman" w:cstheme="minorHAnsi"/>
                <w:b/>
                <w:color w:val="222222"/>
                <w:szCs w:val="24"/>
              </w:rPr>
              <w:t>Arqom Kuswanjono, Siti Murtiningsih, Agus H. Utomo, Mustofa A. Lidinillah, Hastanti W. Nugroho, M.</w:t>
            </w:r>
            <w:r w:rsidRPr="0017093C">
              <w:rPr>
                <w:rFonts w:eastAsia="Times New Roman" w:cstheme="minorHAnsi"/>
                <w:color w:val="222222"/>
                <w:szCs w:val="24"/>
              </w:rPr>
              <w:t>, Universitas Gadjah Mada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Civil Society Organization Dynamics toward Participatory Development Practice: Study of Indonesia’s Indigenous and Environmental  Participatory Democracy Movement Strategies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Andi Ismira</w:t>
            </w:r>
            <w:r w:rsidRPr="0017093C">
              <w:rPr>
                <w:rFonts w:cstheme="minorHAnsi"/>
                <w:szCs w:val="24"/>
              </w:rPr>
              <w:t>, West Sulawesi University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eastAsia="Times New Roman" w:cstheme="minorHAnsi"/>
                <w:i/>
                <w:color w:val="222222"/>
                <w:szCs w:val="24"/>
              </w:rPr>
              <w:t>Democracy and Intergenerational Justice Problem’s in the Environmental Management in Indonesia</w:t>
            </w:r>
          </w:p>
          <w:p w:rsidR="001A1522" w:rsidRPr="0017093C" w:rsidRDefault="001A1522" w:rsidP="006B610D">
            <w:pPr>
              <w:ind w:left="73"/>
              <w:jc w:val="both"/>
              <w:rPr>
                <w:rFonts w:eastAsia="Times New Roman" w:cstheme="minorHAnsi"/>
                <w:color w:val="222222"/>
                <w:szCs w:val="24"/>
              </w:rPr>
            </w:pPr>
            <w:r w:rsidRPr="0017093C">
              <w:rPr>
                <w:rFonts w:eastAsia="Times New Roman" w:cstheme="minorHAnsi"/>
                <w:b/>
                <w:color w:val="222222"/>
                <w:szCs w:val="24"/>
              </w:rPr>
              <w:t>Lailiy Muthmainnah,</w:t>
            </w:r>
            <w:r w:rsidRPr="0017093C">
              <w:rPr>
                <w:rFonts w:eastAsia="Times New Roman" w:cstheme="minorHAnsi"/>
                <w:color w:val="222222"/>
                <w:szCs w:val="24"/>
              </w:rPr>
              <w:t xml:space="preserve"> Faculty of Philosophy Universitas Gadjah Mada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b/>
                <w:color w:val="9CC2E5" w:themeColor="accent1" w:themeTint="99"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color w:val="222222"/>
                <w:szCs w:val="24"/>
              </w:rPr>
              <w:t xml:space="preserve">Moderator: </w:t>
            </w:r>
            <w:r w:rsidRPr="0017093C">
              <w:rPr>
                <w:rFonts w:cstheme="minorHAnsi"/>
                <w:bCs/>
                <w:color w:val="222222"/>
                <w:szCs w:val="24"/>
              </w:rPr>
              <w:t>Sartika Intaning Pradhani, SH, M.H.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346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pStyle w:val="ListParagraph"/>
              <w:ind w:left="318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Session 3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b/>
                <w:i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>Religion as Identity Politics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Islamic Politics of Palembang in the 1950s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Ryllian Chandra,</w:t>
            </w:r>
            <w:r w:rsidRPr="0017093C">
              <w:rPr>
                <w:rFonts w:cstheme="minorHAnsi"/>
                <w:szCs w:val="24"/>
              </w:rPr>
              <w:t xml:space="preserve"> State Islamic University Raden Patah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Nationalism in the Perspective Laskar Sayidina Ali, An Islam Epistemology Study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Iva Ariani, Syarief Hidayatullah, Septiana DM,</w:t>
            </w:r>
            <w:r w:rsidRPr="0017093C">
              <w:rPr>
                <w:rFonts w:cstheme="minorHAnsi"/>
                <w:szCs w:val="24"/>
              </w:rPr>
              <w:t xml:space="preserve"> Universitas Gadjah Mada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b/>
                <w:color w:val="9CC2E5" w:themeColor="accent1" w:themeTint="99"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Critical Review of Alternative Media and Identity: A case study of Nusantara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Fitaha Aini</w:t>
            </w:r>
            <w:r w:rsidRPr="0017093C">
              <w:rPr>
                <w:rFonts w:cstheme="minorHAnsi"/>
                <w:szCs w:val="24"/>
              </w:rPr>
              <w:t xml:space="preserve">, University of Leicester 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ind w:left="73"/>
              <w:rPr>
                <w:rFonts w:cstheme="minorHAnsi"/>
                <w:bCs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 xml:space="preserve"> Moderator: </w:t>
            </w:r>
            <w:r w:rsidRPr="0017093C">
              <w:rPr>
                <w:rFonts w:cstheme="minorHAnsi"/>
                <w:bCs/>
                <w:szCs w:val="24"/>
              </w:rPr>
              <w:t>Dr. Sartini, M.Hum.</w:t>
            </w:r>
            <w:r>
              <w:rPr>
                <w:rFonts w:cstheme="minorHAnsi"/>
                <w:bCs/>
                <w:szCs w:val="24"/>
              </w:rPr>
              <w:t xml:space="preserve"> 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527"/>
        </w:trPr>
        <w:tc>
          <w:tcPr>
            <w:tcW w:w="1804" w:type="dxa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12.15 – 13.15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Lunch Break 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Balairung</w:t>
            </w:r>
          </w:p>
        </w:tc>
      </w:tr>
      <w:tr w:rsidR="001A1522" w:rsidRPr="0017093C" w:rsidTr="006B610D">
        <w:trPr>
          <w:trHeight w:val="581"/>
        </w:trPr>
        <w:tc>
          <w:tcPr>
            <w:tcW w:w="1804" w:type="dxa"/>
            <w:vMerge w:val="restart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13.15-15.15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(Room1) 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13.15-15.15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(Room 2) 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13.15-15.15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(Room 3)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985" w:type="dxa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Parallel Sessions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913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ind w:left="459" w:hanging="284"/>
              <w:jc w:val="center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szCs w:val="24"/>
              </w:rPr>
              <w:t>Session 4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i/>
                <w:szCs w:val="24"/>
              </w:rPr>
              <w:t xml:space="preserve"> </w:t>
            </w:r>
            <w:r w:rsidRPr="0014530C">
              <w:rPr>
                <w:rFonts w:cstheme="minorHAnsi"/>
                <w:b/>
                <w:i/>
                <w:szCs w:val="24"/>
              </w:rPr>
              <w:t>Democracy, Adats and Minorities Groups</w:t>
            </w: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Political Alienation Toward Disability People: A Case Study of Local Election in Banjarmasin City, 2015-2020</w:t>
            </w:r>
          </w:p>
          <w:p w:rsidR="001A1522" w:rsidRPr="0017093C" w:rsidRDefault="001A1522" w:rsidP="006B610D">
            <w:pPr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 </w:t>
            </w:r>
            <w:r w:rsidRPr="0017093C">
              <w:rPr>
                <w:rFonts w:cstheme="minorHAnsi"/>
                <w:b/>
                <w:szCs w:val="24"/>
              </w:rPr>
              <w:t xml:space="preserve"> Noviana Sari, Siti Mauliana</w:t>
            </w:r>
            <w:r w:rsidRPr="0017093C">
              <w:rPr>
                <w:rFonts w:cstheme="minorHAnsi"/>
                <w:szCs w:val="24"/>
              </w:rPr>
              <w:t>, Lambung Mangkurat University</w:t>
            </w: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The Use of Adat as Identity Politics during Agrarian Conflict in Indonesia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Sartika Intaning Pradhani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Language Right in Justice System</w:t>
            </w: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Natdanai Nachan</w:t>
            </w:r>
            <w:r w:rsidRPr="0017093C">
              <w:rPr>
                <w:rFonts w:cstheme="minorHAnsi"/>
                <w:szCs w:val="24"/>
              </w:rPr>
              <w:t>, Mae Fah Laung University</w:t>
            </w: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 xml:space="preserve">  Moderator: </w:t>
            </w:r>
            <w:r w:rsidRPr="0017093C">
              <w:rPr>
                <w:rFonts w:cstheme="minorHAnsi"/>
                <w:bCs/>
                <w:szCs w:val="24"/>
              </w:rPr>
              <w:t>Dr. Arqom Kuswanjono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968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pStyle w:val="ListParagraph"/>
              <w:ind w:left="318"/>
              <w:jc w:val="center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Cs w:val="24"/>
              </w:rPr>
              <w:t>Session 5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i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i/>
                <w:szCs w:val="24"/>
              </w:rPr>
              <w:t>Adats</w:t>
            </w:r>
            <w:r w:rsidRPr="0017093C">
              <w:rPr>
                <w:rFonts w:cstheme="minorHAnsi"/>
                <w:b/>
                <w:szCs w:val="24"/>
              </w:rPr>
              <w:t xml:space="preserve"> and </w:t>
            </w:r>
            <w:r>
              <w:rPr>
                <w:rFonts w:cstheme="minorHAnsi"/>
                <w:b/>
                <w:szCs w:val="24"/>
              </w:rPr>
              <w:t>Identities</w:t>
            </w:r>
            <w:r w:rsidRPr="0017093C">
              <w:rPr>
                <w:rFonts w:cstheme="minorHAnsi"/>
                <w:b/>
                <w:szCs w:val="24"/>
              </w:rPr>
              <w:t>: Tension, Adoption and Resistance</w:t>
            </w:r>
          </w:p>
          <w:p w:rsidR="001A1522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</w:t>
            </w:r>
          </w:p>
          <w:p w:rsidR="001A1522" w:rsidRDefault="001A1522" w:rsidP="006B610D">
            <w:pPr>
              <w:ind w:left="215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pStyle w:val="NormalWeb"/>
              <w:spacing w:before="0" w:beforeAutospacing="0" w:after="0" w:afterAutospacing="0"/>
              <w:ind w:left="73"/>
              <w:rPr>
                <w:rFonts w:asciiTheme="minorHAnsi" w:hAnsiTheme="minorHAnsi" w:cstheme="minorHAnsi"/>
                <w:i/>
                <w:sz w:val="22"/>
              </w:rPr>
            </w:pPr>
            <w:r w:rsidRPr="0017093C">
              <w:rPr>
                <w:rFonts w:asciiTheme="minorHAnsi" w:eastAsiaTheme="minorHAnsi" w:hAnsiTheme="minorHAnsi" w:cstheme="minorHAnsi"/>
                <w:i/>
                <w:sz w:val="22"/>
              </w:rPr>
              <w:t xml:space="preserve">“Congklak”, “Gebrak Gunung” and the Philosophy of Education; </w:t>
            </w:r>
            <w:r w:rsidRPr="0017093C">
              <w:rPr>
                <w:rFonts w:asciiTheme="minorHAnsi" w:hAnsiTheme="minorHAnsi" w:cstheme="minorHAnsi"/>
                <w:i/>
                <w:sz w:val="22"/>
              </w:rPr>
              <w:t>A Study on Pedagogical values in the Traditional Children’s Games</w:t>
            </w:r>
          </w:p>
          <w:p w:rsidR="001A1522" w:rsidRPr="0017093C" w:rsidRDefault="001A1522" w:rsidP="006B610D">
            <w:pPr>
              <w:pStyle w:val="NormalWeb"/>
              <w:spacing w:before="0" w:beforeAutospacing="0" w:after="0" w:afterAutospacing="0"/>
              <w:ind w:left="73"/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17093C">
              <w:rPr>
                <w:rFonts w:asciiTheme="minorHAnsi" w:eastAsiaTheme="minorHAnsi" w:hAnsiTheme="minorHAnsi" w:cstheme="minorHAnsi"/>
                <w:b/>
                <w:sz w:val="22"/>
              </w:rPr>
              <w:t xml:space="preserve">Siti Murtiningsih, </w:t>
            </w:r>
            <w:r w:rsidRPr="0017093C">
              <w:rPr>
                <w:rFonts w:asciiTheme="minorHAnsi" w:eastAsiaTheme="minorHAnsi" w:hAnsiTheme="minorHAnsi" w:cstheme="minorHAnsi"/>
                <w:sz w:val="22"/>
              </w:rPr>
              <w:t>Universitas Gadjah Mada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Adat as Local Ideology in the Indonesian Democracy Process:  A Study of the Toraja Ethnic Group in 2015’s  Local Election</w:t>
            </w:r>
          </w:p>
          <w:p w:rsidR="001A1522" w:rsidRPr="0017093C" w:rsidRDefault="001A1522" w:rsidP="006B610D">
            <w:pPr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Sukri Tamma, </w:t>
            </w:r>
            <w:r w:rsidRPr="0017093C">
              <w:rPr>
                <w:rFonts w:cstheme="minorHAnsi"/>
                <w:szCs w:val="24"/>
              </w:rPr>
              <w:t xml:space="preserve"> University of Hasanuddin </w:t>
            </w:r>
          </w:p>
          <w:p w:rsidR="001A1522" w:rsidRDefault="001A1522" w:rsidP="006B610D">
            <w:pPr>
              <w:ind w:left="73"/>
              <w:rPr>
                <w:rFonts w:cstheme="minorHAnsi"/>
                <w:i/>
                <w:color w:val="FF0000"/>
                <w:szCs w:val="24"/>
              </w:rPr>
            </w:pPr>
          </w:p>
          <w:p w:rsidR="001A1522" w:rsidRPr="003B25A2" w:rsidRDefault="001A1522" w:rsidP="006B610D">
            <w:pPr>
              <w:ind w:left="73"/>
              <w:rPr>
                <w:rFonts w:cstheme="minorHAnsi"/>
                <w:b/>
                <w:szCs w:val="24"/>
              </w:rPr>
            </w:pPr>
            <w:r w:rsidRPr="003B25A2">
              <w:rPr>
                <w:rFonts w:cstheme="minorHAnsi"/>
                <w:i/>
                <w:szCs w:val="24"/>
              </w:rPr>
              <w:t>Mysticism, Self-Ethics and the Construction of Masculinity of ‘Wong Pinter’</w:t>
            </w:r>
          </w:p>
          <w:p w:rsidR="001A1522" w:rsidRPr="003B25A2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3B25A2">
              <w:rPr>
                <w:rFonts w:cstheme="minorHAnsi"/>
                <w:b/>
                <w:szCs w:val="24"/>
              </w:rPr>
              <w:t>Sartini; Rachmad Hidayat,</w:t>
            </w:r>
            <w:r w:rsidRPr="003B25A2">
              <w:rPr>
                <w:rFonts w:cstheme="minorHAnsi"/>
                <w:szCs w:val="24"/>
              </w:rPr>
              <w:t xml:space="preserve"> Universitas Gadjah Mada</w:t>
            </w:r>
          </w:p>
          <w:p w:rsidR="001A1522" w:rsidRPr="0017093C" w:rsidRDefault="001A1522" w:rsidP="006B610D">
            <w:pPr>
              <w:ind w:left="215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215" w:hanging="14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 xml:space="preserve">Moderator: </w:t>
            </w:r>
            <w:r w:rsidRPr="0017093C">
              <w:rPr>
                <w:rFonts w:cstheme="minorHAnsi"/>
                <w:bCs/>
                <w:szCs w:val="24"/>
              </w:rPr>
              <w:t>Fitaha Aini,</w:t>
            </w:r>
            <w:r w:rsidRPr="0017093C"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17093C">
              <w:rPr>
                <w:rFonts w:cstheme="minorHAnsi"/>
                <w:szCs w:val="24"/>
              </w:rPr>
              <w:t>University of Leicester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982"/>
        </w:trPr>
        <w:tc>
          <w:tcPr>
            <w:tcW w:w="1804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652" w:type="dxa"/>
            <w:gridSpan w:val="2"/>
          </w:tcPr>
          <w:p w:rsidR="001A1522" w:rsidRPr="0017093C" w:rsidRDefault="001A1522" w:rsidP="006B610D">
            <w:pPr>
              <w:ind w:left="459" w:hanging="283"/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Session 6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i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>Ideology</w:t>
            </w:r>
            <w:r>
              <w:rPr>
                <w:rFonts w:cstheme="minorHAnsi"/>
                <w:b/>
                <w:szCs w:val="24"/>
              </w:rPr>
              <w:t>, Identities and Nationhood</w:t>
            </w:r>
          </w:p>
          <w:p w:rsidR="001A1522" w:rsidRPr="0017093C" w:rsidRDefault="001A1522" w:rsidP="006B610D">
            <w:pPr>
              <w:pStyle w:val="ListParagraph"/>
              <w:ind w:left="72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pStyle w:val="ListParagraph"/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New Nationalism in Post-New Order Indonesia</w:t>
            </w: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>Suzanna Eddyono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Pr="0017093C" w:rsidRDefault="001A1522" w:rsidP="006B610D">
            <w:pPr>
              <w:pStyle w:val="ListParagraph"/>
              <w:ind w:left="72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Malacan Identity in the Account of Eredia’s Declaration de Malaca</w:t>
            </w:r>
          </w:p>
          <w:p w:rsidR="001A1522" w:rsidRPr="0017093C" w:rsidRDefault="001A1522" w:rsidP="006B610D">
            <w:pPr>
              <w:pStyle w:val="ListParagraph"/>
              <w:ind w:left="73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Daya Negri Wijaya</w:t>
            </w:r>
            <w:r w:rsidRPr="0017093C">
              <w:rPr>
                <w:rFonts w:cstheme="minorHAnsi"/>
                <w:szCs w:val="24"/>
              </w:rPr>
              <w:t xml:space="preserve">, </w:t>
            </w:r>
            <w:r w:rsidRPr="0017093C">
              <w:rPr>
                <w:rFonts w:cstheme="minorHAnsi"/>
                <w:i/>
                <w:szCs w:val="24"/>
              </w:rPr>
              <w:t xml:space="preserve"> </w:t>
            </w:r>
            <w:r w:rsidRPr="0017093C">
              <w:rPr>
                <w:rFonts w:cstheme="minorHAnsi"/>
                <w:szCs w:val="24"/>
              </w:rPr>
              <w:t>State University of Malang</w:t>
            </w:r>
          </w:p>
          <w:p w:rsidR="001A1522" w:rsidRPr="0017093C" w:rsidRDefault="001A1522" w:rsidP="006B610D">
            <w:pPr>
              <w:pStyle w:val="ListParagraph"/>
              <w:ind w:left="72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459" w:hanging="387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Dealing With Difference: Pancasila In Post-Suharto Indonesia</w:t>
            </w:r>
          </w:p>
          <w:p w:rsidR="001A1522" w:rsidRPr="0017093C" w:rsidRDefault="001A1522" w:rsidP="006B610D">
            <w:pPr>
              <w:ind w:left="459" w:hanging="387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Agus Wahyudi</w:t>
            </w:r>
            <w:r w:rsidRPr="0017093C">
              <w:rPr>
                <w:rFonts w:cstheme="minorHAnsi"/>
                <w:szCs w:val="24"/>
              </w:rPr>
              <w:t xml:space="preserve">, Universitas Gadjah Mada </w:t>
            </w:r>
          </w:p>
          <w:p w:rsidR="001A1522" w:rsidRPr="0017093C" w:rsidRDefault="001A1522" w:rsidP="006B610D">
            <w:pPr>
              <w:ind w:left="459" w:hanging="387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 </w:t>
            </w:r>
            <w:r w:rsidRPr="0017093C">
              <w:rPr>
                <w:rFonts w:cstheme="minorHAnsi"/>
                <w:b/>
                <w:bCs/>
                <w:szCs w:val="24"/>
              </w:rPr>
              <w:t xml:space="preserve">Moderator: </w:t>
            </w:r>
            <w:r w:rsidRPr="0017093C">
              <w:rPr>
                <w:rFonts w:cstheme="minorHAnsi"/>
                <w:bCs/>
                <w:szCs w:val="24"/>
              </w:rPr>
              <w:t>Syarif Hidayatullah, M.Ag., M.A.</w:t>
            </w: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 </w:t>
            </w:r>
          </w:p>
        </w:tc>
      </w:tr>
      <w:tr w:rsidR="001A1522" w:rsidRPr="0017093C" w:rsidTr="006B610D">
        <w:trPr>
          <w:trHeight w:val="473"/>
        </w:trPr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15.15</w:t>
            </w: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Coffee Break</w:t>
            </w: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Balairung</w:t>
            </w:r>
          </w:p>
        </w:tc>
      </w:tr>
      <w:tr w:rsidR="001A1522" w:rsidRPr="0017093C" w:rsidTr="006B610D">
        <w:tc>
          <w:tcPr>
            <w:tcW w:w="1804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19.00-21.00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985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0732B1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0732B1">
              <w:rPr>
                <w:rFonts w:cstheme="minorHAnsi"/>
                <w:szCs w:val="24"/>
              </w:rPr>
              <w:t>Welcoming Dinner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6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Balairung</w:t>
            </w:r>
          </w:p>
        </w:tc>
      </w:tr>
    </w:tbl>
    <w:p w:rsidR="001A1522" w:rsidRPr="0017093C" w:rsidRDefault="001A1522" w:rsidP="001A1522">
      <w:pPr>
        <w:spacing w:after="0" w:line="240" w:lineRule="auto"/>
        <w:rPr>
          <w:rFonts w:cstheme="minorHAnsi"/>
          <w:szCs w:val="24"/>
        </w:rPr>
      </w:pPr>
    </w:p>
    <w:p w:rsidR="001A1522" w:rsidRPr="0017093C" w:rsidRDefault="001A1522" w:rsidP="001A1522">
      <w:pPr>
        <w:spacing w:after="0" w:line="240" w:lineRule="auto"/>
        <w:rPr>
          <w:rFonts w:cstheme="minorHAnsi"/>
          <w:szCs w:val="24"/>
        </w:rPr>
      </w:pPr>
    </w:p>
    <w:tbl>
      <w:tblPr>
        <w:tblStyle w:val="TableGrid"/>
        <w:tblW w:w="10173" w:type="dxa"/>
        <w:tblInd w:w="-176" w:type="dxa"/>
        <w:tblLook w:val="04A0" w:firstRow="1" w:lastRow="0" w:firstColumn="1" w:lastColumn="0" w:noHBand="0" w:noVBand="1"/>
      </w:tblPr>
      <w:tblGrid>
        <w:gridCol w:w="1805"/>
        <w:gridCol w:w="6527"/>
        <w:gridCol w:w="1841"/>
      </w:tblGrid>
      <w:tr w:rsidR="001A1522" w:rsidRPr="0017093C" w:rsidTr="006B610D">
        <w:trPr>
          <w:trHeight w:val="495"/>
        </w:trPr>
        <w:tc>
          <w:tcPr>
            <w:tcW w:w="10173" w:type="dxa"/>
            <w:gridSpan w:val="3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Day 2, 14 October  2018</w:t>
            </w: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07.30- 08.00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Registration 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08.00 – 08.15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Opening and Information session</w:t>
            </w: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Room 1 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08.15 – 09.45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b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Keynote Address 2:</w:t>
            </w:r>
            <w:r w:rsidRPr="0017093C">
              <w:rPr>
                <w:rFonts w:cstheme="minorHAnsi"/>
                <w:b/>
                <w:i/>
                <w:szCs w:val="24"/>
              </w:rPr>
              <w:t xml:space="preserve"> </w:t>
            </w:r>
          </w:p>
          <w:p w:rsidR="001A1522" w:rsidRPr="0017093C" w:rsidRDefault="001A1522" w:rsidP="006B610D">
            <w:pPr>
              <w:jc w:val="both"/>
              <w:rPr>
                <w:rFonts w:eastAsia="Times New Roman" w:cstheme="minorHAnsi"/>
                <w:b/>
                <w:color w:val="222222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eastAsia="Times New Roman" w:cstheme="minorHAnsi"/>
                <w:b/>
                <w:szCs w:val="24"/>
              </w:rPr>
            </w:pPr>
            <w:r w:rsidRPr="0017093C">
              <w:rPr>
                <w:rFonts w:eastAsia="Times New Roman" w:cstheme="minorHAnsi"/>
                <w:b/>
                <w:szCs w:val="24"/>
              </w:rPr>
              <w:t>Islamic and Nationalist Populisms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Prof. Vedi Hadiz, FASSA, </w:t>
            </w:r>
            <w:r w:rsidRPr="0017093C">
              <w:rPr>
                <w:rFonts w:cstheme="minorHAnsi"/>
                <w:szCs w:val="24"/>
              </w:rPr>
              <w:t xml:space="preserve">University of Melbourne 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bCs/>
              </w:rPr>
            </w:pPr>
            <w:r w:rsidRPr="0017093C">
              <w:rPr>
                <w:rFonts w:cstheme="minorHAnsi"/>
                <w:b/>
                <w:bCs/>
              </w:rPr>
              <w:lastRenderedPageBreak/>
              <w:t xml:space="preserve">Moderator: </w:t>
            </w:r>
            <w:r w:rsidRPr="0017093C">
              <w:rPr>
                <w:rFonts w:cstheme="minorHAnsi"/>
                <w:bCs/>
              </w:rPr>
              <w:t>Drs. Agus Wahyudi, M.Si., M.A.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lastRenderedPageBreak/>
              <w:t>Room 1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lastRenderedPageBreak/>
              <w:t>09.45 – 10.00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Coffee Break </w:t>
            </w: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Balairung</w:t>
            </w: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  <w:vMerge w:val="restart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10.00 – 12.00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(Room 1)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10.00 – 12.00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(Room 2) 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Parallel Sessions</w:t>
            </w: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rPr>
          <w:trHeight w:val="495"/>
        </w:trPr>
        <w:tc>
          <w:tcPr>
            <w:tcW w:w="1805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368" w:type="dxa"/>
            <w:gridSpan w:val="2"/>
          </w:tcPr>
          <w:p w:rsidR="001A1522" w:rsidRPr="0017093C" w:rsidRDefault="001A1522" w:rsidP="006B610D">
            <w:pPr>
              <w:ind w:left="459" w:hanging="283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Session 7</w:t>
            </w:r>
            <w:r w:rsidRPr="0017093C">
              <w:rPr>
                <w:rFonts w:cstheme="minorHAnsi"/>
                <w:szCs w:val="24"/>
              </w:rPr>
              <w:t xml:space="preserve">: </w:t>
            </w:r>
          </w:p>
        </w:tc>
      </w:tr>
      <w:tr w:rsidR="001A1522" w:rsidRPr="0017093C" w:rsidTr="006B610D">
        <w:tc>
          <w:tcPr>
            <w:tcW w:w="1805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368" w:type="dxa"/>
            <w:gridSpan w:val="2"/>
          </w:tcPr>
          <w:p w:rsidR="001A1522" w:rsidRPr="0017093C" w:rsidRDefault="001A1522" w:rsidP="006B610D">
            <w:pPr>
              <w:ind w:left="34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Session 7</w:t>
            </w:r>
            <w:r w:rsidRPr="0017093C">
              <w:rPr>
                <w:rFonts w:cstheme="minorHAnsi"/>
                <w:szCs w:val="24"/>
              </w:rPr>
              <w:t xml:space="preserve"> :</w:t>
            </w:r>
            <w:r w:rsidRPr="0017093C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Ideology and Traditions</w:t>
            </w:r>
            <w:r w:rsidRPr="0017093C">
              <w:rPr>
                <w:rFonts w:cstheme="minorHAnsi"/>
                <w:b/>
                <w:szCs w:val="24"/>
              </w:rPr>
              <w:t xml:space="preserve">: between </w:t>
            </w:r>
            <w:r>
              <w:rPr>
                <w:rFonts w:cstheme="minorHAnsi"/>
                <w:b/>
                <w:szCs w:val="24"/>
              </w:rPr>
              <w:t>Participation</w:t>
            </w:r>
            <w:r w:rsidRPr="0017093C">
              <w:rPr>
                <w:rFonts w:cstheme="minorHAnsi"/>
                <w:b/>
                <w:szCs w:val="24"/>
              </w:rPr>
              <w:t xml:space="preserve"> and </w:t>
            </w:r>
            <w:r>
              <w:rPr>
                <w:rFonts w:cstheme="minorHAnsi"/>
                <w:b/>
                <w:szCs w:val="24"/>
              </w:rPr>
              <w:t>Institution</w:t>
            </w:r>
          </w:p>
          <w:p w:rsidR="001A1522" w:rsidRPr="0017093C" w:rsidRDefault="001A1522" w:rsidP="006B610D">
            <w:pPr>
              <w:ind w:left="459" w:hanging="283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72"/>
              <w:jc w:val="both"/>
              <w:rPr>
                <w:rFonts w:eastAsia="Arial Unicode MS" w:cstheme="minorHAnsi"/>
                <w:bCs/>
                <w:i/>
                <w:szCs w:val="24"/>
              </w:rPr>
            </w:pPr>
            <w:r w:rsidRPr="0017093C">
              <w:rPr>
                <w:rFonts w:eastAsia="Arial Unicode MS" w:cstheme="minorHAnsi"/>
                <w:bCs/>
                <w:i/>
                <w:szCs w:val="24"/>
              </w:rPr>
              <w:t xml:space="preserve">The Ideology of Family in Indonesian Laws on Family 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eastAsia="Arial Unicode MS" w:cstheme="minorHAnsi"/>
                <w:b/>
                <w:szCs w:val="24"/>
              </w:rPr>
              <w:t>Supartiningsih</w:t>
            </w:r>
            <w:r w:rsidRPr="0017093C">
              <w:rPr>
                <w:rFonts w:eastAsia="Arial Unicode MS" w:cstheme="minorHAnsi"/>
                <w:szCs w:val="24"/>
              </w:rPr>
              <w:t xml:space="preserve">, </w:t>
            </w:r>
            <w:r w:rsidRPr="0017093C">
              <w:rPr>
                <w:rFonts w:cstheme="minorHAnsi"/>
                <w:szCs w:val="24"/>
              </w:rPr>
              <w:t>Universitas Gadjah Mada</w:t>
            </w:r>
          </w:p>
          <w:p w:rsidR="001A1522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The Philosophy of the </w:t>
            </w:r>
            <w:r w:rsidRPr="0017093C">
              <w:rPr>
                <w:rFonts w:cstheme="minorHAnsi"/>
                <w:szCs w:val="24"/>
              </w:rPr>
              <w:t>Saniri Negeri</w:t>
            </w:r>
            <w:r w:rsidRPr="0017093C">
              <w:rPr>
                <w:rFonts w:cstheme="minorHAnsi"/>
                <w:i/>
                <w:szCs w:val="24"/>
              </w:rPr>
              <w:t xml:space="preserve"> as a Basis for Conflict Resolution Through Inclusive Societal Participation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Aholiab Watloly, Yustina Trihoni Nalesti Dewi,</w:t>
            </w:r>
            <w:r w:rsidRPr="0017093C">
              <w:rPr>
                <w:rFonts w:cstheme="minorHAnsi"/>
                <w:szCs w:val="24"/>
              </w:rPr>
              <w:t xml:space="preserve"> Patimura University and  Soegijapranata Catholic University   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Pancasila and Strategy of Culture.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>Misnal Munir</w:t>
            </w:r>
            <w:r w:rsidRPr="0017093C">
              <w:rPr>
                <w:rFonts w:cstheme="minorHAnsi"/>
                <w:szCs w:val="24"/>
              </w:rPr>
              <w:t xml:space="preserve">; </w:t>
            </w:r>
            <w:r w:rsidRPr="0017093C">
              <w:rPr>
                <w:rFonts w:cstheme="minorHAnsi"/>
                <w:b/>
                <w:szCs w:val="24"/>
              </w:rPr>
              <w:t>Ngurah Weda Sadewa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</w:p>
          <w:p w:rsidR="001A1522" w:rsidRPr="00F11B9F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>Moderator: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Pr="00F11B9F">
              <w:rPr>
                <w:rFonts w:cstheme="minorHAnsi"/>
                <w:bCs/>
                <w:szCs w:val="24"/>
              </w:rPr>
              <w:t xml:space="preserve">Dr. </w:t>
            </w:r>
            <w:r w:rsidRPr="00F11B9F">
              <w:rPr>
                <w:rFonts w:cstheme="minorHAnsi"/>
                <w:szCs w:val="24"/>
              </w:rPr>
              <w:t>Suzanna Eddyono.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5" w:type="dxa"/>
            <w:vMerge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368" w:type="dxa"/>
            <w:gridSpan w:val="2"/>
          </w:tcPr>
          <w:p w:rsidR="001A1522" w:rsidRPr="0017093C" w:rsidRDefault="001A1522" w:rsidP="006B610D">
            <w:pPr>
              <w:ind w:left="459" w:hanging="283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Session 8</w:t>
            </w:r>
            <w:r w:rsidRPr="0017093C">
              <w:rPr>
                <w:rFonts w:cstheme="minorHAnsi"/>
                <w:szCs w:val="24"/>
              </w:rPr>
              <w:t>:</w:t>
            </w:r>
            <w:r w:rsidRPr="0017093C">
              <w:rPr>
                <w:rFonts w:cstheme="minorHAnsi"/>
                <w:b/>
                <w:szCs w:val="24"/>
              </w:rPr>
              <w:t xml:space="preserve"> Identities, </w:t>
            </w:r>
            <w:r>
              <w:rPr>
                <w:rFonts w:cstheme="minorHAnsi"/>
                <w:b/>
                <w:szCs w:val="24"/>
              </w:rPr>
              <w:t xml:space="preserve">Conflict </w:t>
            </w:r>
            <w:r w:rsidRPr="0017093C">
              <w:rPr>
                <w:rFonts w:cstheme="minorHAnsi"/>
                <w:b/>
                <w:szCs w:val="24"/>
              </w:rPr>
              <w:t xml:space="preserve">and Representation </w:t>
            </w:r>
          </w:p>
          <w:p w:rsidR="001A1522" w:rsidRPr="0017093C" w:rsidRDefault="001A1522" w:rsidP="006B610D">
            <w:pPr>
              <w:ind w:left="459" w:hanging="283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72" w:hanging="38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 Nurse Uniform Design: Professional Identity Representation</w:t>
            </w:r>
          </w:p>
          <w:p w:rsidR="001A1522" w:rsidRPr="0017093C" w:rsidRDefault="001A1522" w:rsidP="006B610D">
            <w:pPr>
              <w:ind w:left="72" w:hanging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 </w:t>
            </w:r>
            <w:r w:rsidRPr="0017093C">
              <w:rPr>
                <w:rFonts w:cstheme="minorHAnsi"/>
                <w:b/>
                <w:szCs w:val="24"/>
              </w:rPr>
              <w:t xml:space="preserve">Deny Arifiana, </w:t>
            </w:r>
            <w:r w:rsidRPr="0017093C">
              <w:rPr>
                <w:rFonts w:cstheme="minorHAnsi"/>
                <w:szCs w:val="24"/>
              </w:rPr>
              <w:t>Universitas Gadjah Mada</w:t>
            </w:r>
          </w:p>
          <w:p w:rsidR="001A1522" w:rsidRPr="0017093C" w:rsidRDefault="001A1522" w:rsidP="006B610D">
            <w:pPr>
              <w:pStyle w:val="ListParagraph"/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>Conflict-Supportive Narrative in Indonesia’s Democracy: Beyond Identity Politics?</w:t>
            </w:r>
          </w:p>
          <w:p w:rsidR="001A1522" w:rsidRDefault="001A1522" w:rsidP="006B610D">
            <w:pPr>
              <w:ind w:left="72"/>
              <w:rPr>
                <w:rFonts w:cstheme="minorHAnsi"/>
                <w:b/>
                <w:szCs w:val="24"/>
              </w:rPr>
            </w:pPr>
          </w:p>
          <w:p w:rsidR="001A1522" w:rsidRPr="00AD0978" w:rsidRDefault="001A1522" w:rsidP="006B610D">
            <w:pPr>
              <w:pStyle w:val="NormalWeb"/>
              <w:spacing w:before="0" w:beforeAutospacing="0" w:after="0" w:afterAutospacing="0"/>
              <w:ind w:left="7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0978">
              <w:rPr>
                <w:rFonts w:asciiTheme="minorHAnsi" w:hAnsiTheme="minorHAnsi" w:cstheme="minorHAnsi"/>
                <w:i/>
                <w:sz w:val="22"/>
                <w:szCs w:val="22"/>
              </w:rPr>
              <w:t>Conflict-Supportive Narrative in Indonesia’s Democracy: Beyond Identity Politics?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Indriana Pratiwi</w:t>
            </w:r>
            <w:r w:rsidRPr="0017093C">
              <w:rPr>
                <w:rFonts w:cstheme="minorHAnsi"/>
                <w:szCs w:val="24"/>
              </w:rPr>
              <w:t>, University of Sydney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Dianty Widyowati Ningrum</w:t>
            </w:r>
            <w:r w:rsidRPr="0017093C">
              <w:rPr>
                <w:rFonts w:cstheme="minorHAnsi"/>
                <w:szCs w:val="24"/>
              </w:rPr>
              <w:t xml:space="preserve">, University of Manchester </w:t>
            </w:r>
          </w:p>
          <w:p w:rsidR="001A1522" w:rsidRPr="0017093C" w:rsidRDefault="001A1522" w:rsidP="006B610D">
            <w:pPr>
              <w:ind w:left="72" w:hanging="72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ind w:left="72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Preserving the Harmony: a Philosophical Analysis Concerning Javanese Identity </w:t>
            </w:r>
          </w:p>
          <w:p w:rsidR="001A1522" w:rsidRPr="0017093C" w:rsidRDefault="001A1522" w:rsidP="006B610D">
            <w:pPr>
              <w:ind w:left="72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Reno Wikandaru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Pr="0017093C" w:rsidRDefault="001A1522" w:rsidP="006B610D">
            <w:pPr>
              <w:ind w:left="72" w:hanging="72"/>
              <w:rPr>
                <w:rFonts w:cstheme="minorHAnsi"/>
                <w:b/>
                <w:szCs w:val="24"/>
              </w:rPr>
            </w:pPr>
          </w:p>
          <w:p w:rsidR="001A1522" w:rsidRPr="00F11B9F" w:rsidRDefault="001A1522" w:rsidP="006B610D">
            <w:pPr>
              <w:ind w:left="73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>Moderator: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F21B2D" w:rsidRPr="00F21B2D">
              <w:rPr>
                <w:rFonts w:cstheme="minorHAnsi"/>
                <w:szCs w:val="24"/>
              </w:rPr>
              <w:t>Neneng Yanti Khozanatu Lahpan</w:t>
            </w:r>
            <w:r w:rsidR="00F21B2D">
              <w:rPr>
                <w:rFonts w:cstheme="minorHAnsi"/>
                <w:szCs w:val="24"/>
              </w:rPr>
              <w:t>, PhD</w:t>
            </w:r>
            <w:bookmarkStart w:id="0" w:name="_GoBack"/>
            <w:bookmarkEnd w:id="0"/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12.00 – 13.00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Lunch Break</w:t>
            </w:r>
          </w:p>
          <w:p w:rsidR="001A1522" w:rsidRPr="0017093C" w:rsidRDefault="001A1522" w:rsidP="006B610D">
            <w:pPr>
              <w:ind w:left="459" w:hanging="283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1A1522" w:rsidRPr="0017093C" w:rsidTr="006B610D"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13.00 – 14.30 </w:t>
            </w:r>
          </w:p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i/>
                <w:szCs w:val="24"/>
              </w:rPr>
            </w:pPr>
            <w:r w:rsidRPr="0017093C">
              <w:rPr>
                <w:rFonts w:cstheme="minorHAnsi"/>
                <w:i/>
                <w:szCs w:val="24"/>
              </w:rPr>
              <w:t xml:space="preserve">Key Panel Discussion: 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b/>
                <w:i/>
                <w:szCs w:val="24"/>
              </w:rPr>
            </w:pPr>
            <w:r w:rsidRPr="0017093C">
              <w:rPr>
                <w:rFonts w:cstheme="minorHAnsi"/>
                <w:b/>
                <w:i/>
                <w:szCs w:val="24"/>
              </w:rPr>
              <w:t>The Spiritual Politics of the Kendeng Mountains Versus the Global Cement Industry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>Dr. Phil. Dewi Candraningrum</w:t>
            </w:r>
            <w:r w:rsidRPr="0017093C">
              <w:rPr>
                <w:rFonts w:cstheme="minorHAnsi"/>
                <w:szCs w:val="24"/>
              </w:rPr>
              <w:t xml:space="preserve">, Komunitas Jejer Wadon  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b/>
                <w:bCs/>
                <w:i/>
                <w:szCs w:val="24"/>
              </w:rPr>
            </w:pPr>
            <w:r w:rsidRPr="0017093C">
              <w:rPr>
                <w:rFonts w:cstheme="minorHAnsi"/>
                <w:b/>
                <w:bCs/>
                <w:i/>
                <w:szCs w:val="24"/>
              </w:rPr>
              <w:t>The Meaning Of Social Justice In The Light Of Davidsonian Theory Of Truth (A Radical Interpretation On The Function Of Pancasila As Indonesian Ideology)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lastRenderedPageBreak/>
              <w:t>Prof. Mukhtasar Syamsuddin</w:t>
            </w:r>
            <w:r w:rsidRPr="0017093C">
              <w:rPr>
                <w:rFonts w:cstheme="minorHAnsi"/>
                <w:szCs w:val="24"/>
              </w:rPr>
              <w:t>, Universitas Gadjah Mada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b/>
                <w:bCs/>
                <w:szCs w:val="24"/>
              </w:rPr>
              <w:t xml:space="preserve">Moderator: </w:t>
            </w:r>
            <w:r w:rsidRPr="0017093C">
              <w:rPr>
                <w:rFonts w:cstheme="minorHAnsi"/>
                <w:bCs/>
                <w:szCs w:val="24"/>
              </w:rPr>
              <w:t>Dr. Sindung Tjahyadi</w:t>
            </w: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Room 1</w:t>
            </w:r>
          </w:p>
        </w:tc>
      </w:tr>
      <w:tr w:rsidR="001A1522" w:rsidRPr="0017093C" w:rsidTr="006B610D">
        <w:tc>
          <w:tcPr>
            <w:tcW w:w="1805" w:type="dxa"/>
          </w:tcPr>
          <w:p w:rsidR="001A1522" w:rsidRPr="0017093C" w:rsidRDefault="001A1522" w:rsidP="006B610D">
            <w:pPr>
              <w:jc w:val="center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lastRenderedPageBreak/>
              <w:t>14.30 – 15.00</w:t>
            </w:r>
          </w:p>
        </w:tc>
        <w:tc>
          <w:tcPr>
            <w:tcW w:w="6527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b/>
                <w:szCs w:val="24"/>
              </w:rPr>
            </w:pPr>
            <w:r w:rsidRPr="0017093C">
              <w:rPr>
                <w:rFonts w:cstheme="minorHAnsi"/>
                <w:b/>
                <w:szCs w:val="24"/>
              </w:rPr>
              <w:t xml:space="preserve">Closing:  </w:t>
            </w:r>
          </w:p>
          <w:p w:rsidR="001A1522" w:rsidRDefault="001A1522" w:rsidP="006B610D">
            <w:pPr>
              <w:pStyle w:val="ListParagraph"/>
              <w:ind w:left="465"/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 xml:space="preserve">Vice Dean of Research, Publication and External Collaboration of the Faculty of Philosophy, Universitas Gadjah Mada  </w:t>
            </w:r>
          </w:p>
          <w:p w:rsidR="001A1522" w:rsidRPr="0017093C" w:rsidRDefault="001A1522" w:rsidP="006B610D">
            <w:pPr>
              <w:pStyle w:val="ListParagraph"/>
              <w:ind w:left="465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</w:tcPr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</w:p>
          <w:p w:rsidR="001A1522" w:rsidRPr="0017093C" w:rsidRDefault="001A1522" w:rsidP="006B610D">
            <w:pPr>
              <w:jc w:val="both"/>
              <w:rPr>
                <w:rFonts w:cstheme="minorHAnsi"/>
                <w:szCs w:val="24"/>
              </w:rPr>
            </w:pPr>
            <w:r w:rsidRPr="0017093C">
              <w:rPr>
                <w:rFonts w:cstheme="minorHAnsi"/>
                <w:szCs w:val="24"/>
              </w:rPr>
              <w:t>Room 1</w:t>
            </w:r>
          </w:p>
        </w:tc>
      </w:tr>
    </w:tbl>
    <w:p w:rsidR="00731809" w:rsidRDefault="00731809" w:rsidP="001A1522"/>
    <w:sectPr w:rsidR="00731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A07E9"/>
    <w:multiLevelType w:val="hybridMultilevel"/>
    <w:tmpl w:val="476ECBF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1B04E15"/>
    <w:multiLevelType w:val="hybridMultilevel"/>
    <w:tmpl w:val="7FC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2"/>
    <w:rsid w:val="001A1522"/>
    <w:rsid w:val="00731809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9EF70-4C9F-46F9-B382-E2B81C6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22"/>
    <w:pPr>
      <w:ind w:left="720"/>
      <w:contextualSpacing/>
    </w:pPr>
  </w:style>
  <w:style w:type="table" w:styleId="TableGrid">
    <w:name w:val="Table Grid"/>
    <w:basedOn w:val="TableNormal"/>
    <w:uiPriority w:val="59"/>
    <w:rsid w:val="001A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2018-10-08T00:45:00Z</dcterms:created>
  <dcterms:modified xsi:type="dcterms:W3CDTF">2018-10-09T03:01:00Z</dcterms:modified>
</cp:coreProperties>
</file>